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141" w:left="5103"/>
        <w:contextualSpacing/>
        <w:rPr>
          <w:rFonts w:ascii="PT Astra Serif" w:hAnsi="PT Astra Serif" w:eastAsia="Times New Roman"/>
          <w:color w:val="000000"/>
          <w:sz w:val="28"/>
          <w:szCs w:val="28"/>
        </w:rPr>
      </w:pPr>
      <w:r>
        <w:rPr>
          <w:rFonts w:eastAsia="Times New Roman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PT Astra Serif" w:hAnsi="PT Astra Serif" w:eastAsia="Times New Roman"/>
          <w:color w:val="000000"/>
          <w:sz w:val="28"/>
          <w:szCs w:val="28"/>
        </w:rPr>
      </w:pPr>
      <w:r>
        <w:rPr>
          <w:rFonts w:eastAsia="Times New Roman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b/>
          <w:sz w:val="28"/>
          <w:szCs w:val="28"/>
          <w:lang w:eastAsia="en-US"/>
        </w:rPr>
        <w:t>Анализ доступности дополнительного образования детей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В </w:t>
      </w:r>
      <w:r>
        <w:rPr>
          <w:rFonts w:eastAsia="Calibri" w:cs="Times New Roman" w:ascii="PT Astra Serif" w:hAnsi="PT Astra Serif"/>
          <w:b/>
          <w:bCs/>
          <w:sz w:val="28"/>
          <w:szCs w:val="28"/>
          <w:shd w:fill="auto" w:val="clear"/>
          <w:lang w:eastAsia="en-US"/>
        </w:rPr>
        <w:t xml:space="preserve">Базарно-Карабулакском муниципальном районе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(городском округе) и приоритетных направлений развития дополнительного образования детей в соответствии  с социально-экономическими потребностями муниципального образования, а также  потребностями для различных категорий детей, в том числе детей, находящихся в трудной жизненной ситуации, детей с ограниченными возможностями здоровья и детей-инвалидов, детей находящихся на длительном лечении.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Охват детей в возрасте от 5 до 18 лет (17 лет включительно) дополнительным образованием в области культуры и спорта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2691"/>
        <w:gridCol w:w="2979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 в возрасте от 5 до 18 лет, проживающих на территории муниципального образования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Охват ДО в области культуры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(только ДШИ, ДМШ и т.д.) чел</w:t>
            </w:r>
          </w:p>
        </w:tc>
        <w:tc>
          <w:tcPr>
            <w:tcW w:w="2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Охват детей программами спортивной подготовки (за рамками портала) чел.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            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3326</w:t>
            </w:r>
          </w:p>
        </w:tc>
        <w:tc>
          <w:tcPr>
            <w:tcW w:w="26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292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Охват детей в возрасте от 5 до 18 лет дополнительным образованием по возрастным категориям (включая детей, охваченных программами в области культуры – ДШМ, ДМШ и т.д., – и области спорта - спортивные школы, находящиеся в ведении министерства спорта) чел.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1276"/>
        <w:gridCol w:w="1275"/>
        <w:gridCol w:w="1417"/>
        <w:gridCol w:w="1419"/>
        <w:gridCol w:w="1275"/>
        <w:gridCol w:w="1417"/>
      </w:tblGrid>
      <w:tr>
        <w:trPr/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5-6 лет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7-8 лет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9-10 лет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11-12 лет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13-14 лет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15-16 лет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17 лет</w:t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118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425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465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755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789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421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353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560" w:leader="none"/>
        </w:tabs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Охват ДО различных категорий детей, в том числе с ограниченными возможностями здоровья и детей-инвалидов, детей, находящихся на длительном лечении</w:t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3.1.</w:t>
        <w:tab/>
        <w:t>Охват детей с ограниченными возможностями здоровья и детей-инвалидов, детей, находящихся на длительном лечении</w:t>
      </w:r>
    </w:p>
    <w:tbl>
      <w:tblPr>
        <w:tblStyle w:val="1"/>
        <w:tblW w:w="9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4"/>
        <w:gridCol w:w="2431"/>
        <w:gridCol w:w="2130"/>
        <w:gridCol w:w="2657"/>
      </w:tblGrid>
      <w:tr>
        <w:trPr/>
        <w:tc>
          <w:tcPr>
            <w:tcW w:w="21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 с ограниченными возможностями здоровья и детей-инвалидов, детей находящихся  на длительном лечении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 с ОВЗ и инвалидностью/охвачено ДО (число)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детей, находящихся  на длительном лечении/охвачено ДО (число)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 с ОВЗ и инвалидностью, находящихся на домашнем обучении /охвачено ДО (число)</w:t>
            </w:r>
          </w:p>
        </w:tc>
      </w:tr>
      <w:tr>
        <w:trPr/>
        <w:tc>
          <w:tcPr>
            <w:tcW w:w="21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24</w:t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70/37</w:t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24/10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10/3</w:t>
            </w:r>
          </w:p>
        </w:tc>
      </w:tr>
      <w:tr>
        <w:trPr/>
        <w:tc>
          <w:tcPr>
            <w:tcW w:w="21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2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val="clear" w:pos="708"/>
          <w:tab w:val="left" w:pos="1418" w:leader="none"/>
          <w:tab w:val="left" w:pos="1701" w:leader="none"/>
          <w:tab w:val="left" w:pos="1843" w:leader="none"/>
        </w:tabs>
        <w:spacing w:lineRule="auto" w:line="240" w:before="0" w:after="0"/>
        <w:ind w:hanging="567" w:left="1276"/>
        <w:contextualSpacing/>
        <w:jc w:val="both"/>
        <w:rPr>
          <w:highlight w:val="none"/>
          <w:shd w:fill="auto" w:val="clear"/>
        </w:rPr>
      </w:pPr>
      <w:r>
        <w:rPr>
          <w:rFonts w:eastAsia="" w:cs="" w:cstheme="minorBidi" w:eastAsiaTheme="minorEastAsia"/>
          <w:sz w:val="28"/>
          <w:szCs w:val="28"/>
          <w:shd w:fill="auto" w:val="clear"/>
        </w:rPr>
        <w:t xml:space="preserve"> </w:t>
      </w:r>
      <w:r>
        <w:rPr>
          <w:rFonts w:eastAsia="" w:cs="" w:cstheme="minorBidi" w:eastAsiaTheme="minorEastAsia"/>
          <w:sz w:val="28"/>
          <w:szCs w:val="28"/>
          <w:shd w:fill="auto" w:val="clear"/>
        </w:rPr>
        <w:t>Охват ДО детей, находящихся в трудной жизненной ситуации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820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детей, находящихся в трудной жизненной ситуации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Охвачено ДО число/%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   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24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     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24/100%</w:t>
            </w:r>
          </w:p>
        </w:tc>
      </w:tr>
    </w:tbl>
    <w:p>
      <w:pPr>
        <w:pStyle w:val="Normal"/>
        <w:spacing w:lineRule="auto" w:line="240" w:before="0" w:after="0"/>
        <w:ind w:left="142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Доля детей, охваченных ДО в организациях дополнительного образования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2554"/>
        <w:gridCol w:w="2410"/>
        <w:gridCol w:w="2125"/>
      </w:tblGrid>
      <w:tr>
        <w:trPr/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детей, охваченных ДО в организациях дополнительного образования (число/% от общего числа, охваченных ДО)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в организациях дополнительного образования в ведомстве образования (ЦДТ, ДДТ, ДТДиМ ДЮСШ, ДСШ и т.д.)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число/% от общего числа, охваченных ДО в организациях ДО)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в организациях дополнительного образования в ведомстве культуры (ДШИ, ДМШ и т.д.)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число/% от общего числа, охваченных ДО в организациях ДО)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в организациях дополнительного образования в ведомстве спорта (ДЮСШ, ДСШ и т.д.)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число/% от общего числа, охваченных ДО в организациях ДО)</w:t>
            </w:r>
          </w:p>
        </w:tc>
      </w:tr>
      <w:tr>
        <w:trPr/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757/22,7%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465/13,9%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292/8,7%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340/10,2%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Доля детей, охваченных ДО в образовательных организация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843"/>
        <w:gridCol w:w="1979"/>
        <w:gridCol w:w="1990"/>
        <w:gridCol w:w="1701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детей, охваченных ДО в образовательных организациях (число/% от общего числа, охваченных ДО)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дошкольных образовательных организациях (детские сады)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число/% от общего числа, охваченных ДО в образовательных организациях)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общеобразовательных организациях (школы)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число/% от общего числа, охваченных ДО в образовательных организациях)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организациях среднего образования число/% от общего числа, охваченных ДО в образовательных организациях)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организациях высшего образования число/% от общего числа, охваченных ДО в образовательных организациях)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2549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 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48/1,8%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2501/100%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Доля детей, охваченных ДО в частных образовательных организациях, ИП, СОНКО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Всего детей, охваченных ДО в частных образовательных организациях, ИП, СОНКО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(число/% от общего числа, охваченных ДО)</w:t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Образовательные организации, имеющие лицензию на подвид «Дополнительное образование детей и взрослых», реализующие дополнительные общеобразовательные программы (ДОП). 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414"/>
        <w:gridCol w:w="1421"/>
        <w:gridCol w:w="1276"/>
        <w:gridCol w:w="1274"/>
        <w:gridCol w:w="1276"/>
        <w:gridCol w:w="1276"/>
      </w:tblGrid>
      <w:tr>
        <w:trPr/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*Всего организаций, имеющих лицензии на подвид «Дополнительное образование детей и взрослых»/из них, реализующих ДОП (количество)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Дошкольных образовательных организаций, имеющих лицензию/реализующих ДОП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Общеобразовательных организаций, имеющих лицензию/реализующих ДОП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ИП, частники, СОНКО, имеющих лицензию/реализующих ДОП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Организаций среднего образования, имеющих лицензию/реализующих ДОП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Организаций высшего образования, имеющих лицензию/реализующих ДОП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**Детских оздоровительных лагерей с круглосуточным пребыванием, имеющих лицензию/реализующих ДОП/внесенных в реестр поставщиков на портале «Саратов.ПФДО»</w:t>
            </w:r>
          </w:p>
        </w:tc>
      </w:tr>
      <w:tr>
        <w:trPr>
          <w:trHeight w:val="291" w:hRule="atLeast"/>
        </w:trPr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4"/>
          <w:shd w:fill="auto" w:val="clear"/>
          <w:lang w:eastAsia="en-US"/>
        </w:rPr>
        <w:t>*Учитываются все организации, находящиеся на территории муниципального образования и имеющие лицензию, не зависимо от того, включена ли организация в реестр поставщиков на портале «Саратов.ПФДО»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4"/>
          <w:shd w:fill="auto" w:val="clear"/>
          <w:lang w:eastAsia="en-US"/>
        </w:rPr>
        <w:t>**Учитываются все детские оздоровительные лагеря с круглосуточным пребыванием, находящиеся на территории муниципального образования, в том числе частные, АО, государственные и т.д.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Охват детей дополнительными образовательными программами по направленностям</w:t>
      </w:r>
    </w:p>
    <w:tbl>
      <w:tblPr>
        <w:tblStyle w:val="1"/>
        <w:tblW w:w="93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1417"/>
        <w:gridCol w:w="1418"/>
        <w:gridCol w:w="1700"/>
        <w:gridCol w:w="1702"/>
        <w:gridCol w:w="1673"/>
      </w:tblGrid>
      <w:tr>
        <w:trPr/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Техническая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Социально-гуманитарная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Художественная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Естественнонаучная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Физкультурно-спортивная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Туристско-краеведческая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чел/% от общего числа детей, охваченных ДО</w:t>
            </w:r>
          </w:p>
        </w:tc>
      </w:tr>
      <w:tr>
        <w:trPr/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465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268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355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964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384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2"/>
                <w:shd w:fill="auto" w:val="clear"/>
              </w:rPr>
              <w:t>125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Среднее количество часов в неделю, которое ребенок тратит на дополнительное образование (часы) 6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Количество сформированных социальных сертификатов с 1 января 2024 года: 364(число)</w:t>
      </w:r>
      <w:r>
        <w:rPr>
          <w:rFonts w:eastAsia="Calibri" w:cs="Times New Roman" w:ascii="PT Astra Serif" w:hAnsi="PT Astra Serif"/>
          <w:b/>
          <w:sz w:val="28"/>
          <w:szCs w:val="28"/>
          <w:shd w:fill="auto" w:val="clear"/>
          <w:lang w:eastAsia="en-US"/>
        </w:rPr>
        <w:t>/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12 (% от общего числа детей, охваченных ДО)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«Номинал» социального сертификата __4__ (часа)</w:t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Охват детей дополнительным образованием и внеурочной деятельностью в школьных театрах, школьных спортивных клубах, школьных музеях, медиацентрах и др. (количество ДОП/число детей)</w:t>
      </w:r>
    </w:p>
    <w:p>
      <w:pPr>
        <w:pStyle w:val="Normal"/>
        <w:spacing w:lineRule="auto" w:line="240" w:before="0" w:after="200"/>
        <w:ind w:left="720"/>
        <w:contextualSpacing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12.1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411"/>
        <w:gridCol w:w="1566"/>
        <w:gridCol w:w="1979"/>
        <w:gridCol w:w="2557"/>
      </w:tblGrid>
      <w:tr>
        <w:trPr>
          <w:trHeight w:val="320" w:hRule="atLeast"/>
        </w:trPr>
        <w:tc>
          <w:tcPr>
            <w:tcW w:w="184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Творческое объединение</w:t>
            </w:r>
          </w:p>
        </w:tc>
        <w:tc>
          <w:tcPr>
            <w:tcW w:w="297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Дополнительное образование</w:t>
            </w:r>
          </w:p>
        </w:tc>
        <w:tc>
          <w:tcPr>
            <w:tcW w:w="453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Внеурочная деятельность</w:t>
            </w:r>
          </w:p>
        </w:tc>
      </w:tr>
      <w:tr>
        <w:trPr>
          <w:trHeight w:val="320" w:hRule="atLeast"/>
        </w:trPr>
        <w:tc>
          <w:tcPr>
            <w:tcW w:w="184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 детей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ДОП /из них сетевых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Число детей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программ внеурочной деятельности</w:t>
            </w:r>
          </w:p>
        </w:tc>
      </w:tr>
      <w:tr>
        <w:trPr>
          <w:trHeight w:val="549" w:hRule="atLeast"/>
        </w:trPr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Ботанические сады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20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1/0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Школьные музеи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320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13/0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38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</w:t>
            </w:r>
          </w:p>
        </w:tc>
      </w:tr>
      <w:tr>
        <w:trPr>
          <w:trHeight w:val="549" w:hRule="atLeast"/>
        </w:trPr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Школьные медиацентры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60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3/0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</w:tr>
      <w:tr>
        <w:trPr>
          <w:trHeight w:val="557" w:hRule="atLeast"/>
        </w:trPr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Школьные хоры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</w:tr>
      <w:tr>
        <w:trPr>
          <w:trHeight w:val="1118" w:hRule="atLeast"/>
        </w:trPr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Школьные музыкальные коллективы (кроме хоров)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2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12.2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2699"/>
        <w:gridCol w:w="1983"/>
        <w:gridCol w:w="3119"/>
      </w:tblGrid>
      <w:tr>
        <w:trPr>
          <w:trHeight w:val="320" w:hRule="atLeast"/>
        </w:trPr>
        <w:tc>
          <w:tcPr>
            <w:tcW w:w="155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Творческое объединение</w:t>
            </w:r>
          </w:p>
        </w:tc>
        <w:tc>
          <w:tcPr>
            <w:tcW w:w="468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Дополнительное образование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Внеурочная деятельность</w:t>
            </w:r>
          </w:p>
        </w:tc>
      </w:tr>
      <w:tr>
        <w:trPr>
          <w:trHeight w:val="320" w:hRule="atLeast"/>
        </w:trPr>
        <w:tc>
          <w:tcPr>
            <w:tcW w:w="155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Всего объединений/внесены в федеральный реестр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программ/число детей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программ внеурочной деятельности/ число детей</w:t>
            </w:r>
          </w:p>
        </w:tc>
      </w:tr>
      <w:tr>
        <w:trPr>
          <w:trHeight w:val="549" w:hRule="atLeast"/>
        </w:trPr>
        <w:tc>
          <w:tcPr>
            <w:tcW w:w="1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Школьные театры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16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13/320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shd w:fill="auto" w:val="clear"/>
              </w:rPr>
              <w:t>3/38</w:t>
            </w:r>
          </w:p>
        </w:tc>
      </w:tr>
      <w:tr>
        <w:trPr>
          <w:trHeight w:val="841" w:hRule="atLeast"/>
        </w:trPr>
        <w:tc>
          <w:tcPr>
            <w:tcW w:w="15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Школьные спортивные клубы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23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17/865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6/295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Наименование организаций, в которых не созданы школьные театры </w:t>
      </w:r>
      <w:r>
        <w:rPr>
          <w:rFonts w:eastAsia="Calibri" w:cs="Times New Roman" w:ascii="PT Astra Serif" w:hAnsi="PT Astra Serif"/>
          <w:color w:themeColor="text1" w:val="000000"/>
          <w:sz w:val="28"/>
          <w:szCs w:val="28"/>
          <w:shd w:fill="auto" w:val="clear"/>
          <w:lang w:eastAsia="en-US"/>
        </w:rPr>
        <w:t>(только юридические лица)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671"/>
        <w:gridCol w:w="3119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№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Предполагаемая дата создания ШТ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left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Создание муниципальных экостанций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393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Наименование организации, на базе которой создана/создается/будет создана МЭС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Дата создания (реквизиты документа)/планируемого создания МЭС</w:t>
            </w:r>
          </w:p>
        </w:tc>
      </w:tr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МБОУ «СОШ №1 р.п.Базарный Карабулак»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15.12.2022 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Приказ управления образования администрации Базарно-Карабулакского муниципального района № 346 от 12.12.2022 г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Создание муниципальных (межмуниципальных) центров детско-юношеского туризма и краеведения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393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Наименование организации, на базе которой создан/создается/будет создан МЦДЮТ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Дата создания (реквизиты документа)/планируемого создания МЦДЮТ</w:t>
            </w:r>
          </w:p>
        </w:tc>
      </w:tr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МБУ ДО «Дом детского творчества» Базарно-Карабулакского муниципального района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1 марта 2023 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Постановление Администрации Базарно-Карабулакского муниципального района №89 от 02.02.2023 г «О создании Муниципального центра детско-юношеского туризма Базарно-Карабулакского муниципального района».</w:t>
            </w:r>
          </w:p>
        </w:tc>
      </w:tr>
    </w:tbl>
    <w:p>
      <w:pPr>
        <w:pStyle w:val="Normal"/>
        <w:spacing w:lineRule="auto" w:line="240" w:before="0" w:after="0"/>
        <w:ind w:left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Создание детских ботанических садов при образовательных организациях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393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организации, на базе которой создан/создается/будет создан ДБС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Дата создания (реквизиты документа)/планируемого создания ДБС</w:t>
            </w:r>
          </w:p>
        </w:tc>
      </w:tr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Филилал МБОУ «СОШ №2 о.р.Базарный Карабулак» в с.Вязовка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Приказ управления образования № 61 от 27.02.2023 г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*Перечень программ, реализуемых в сетевой форме (форме сетевого взаимодействия)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2"/>
        <w:gridCol w:w="3124"/>
        <w:gridCol w:w="2630"/>
      </w:tblGrid>
      <w:tr>
        <w:trPr/>
        <w:tc>
          <w:tcPr>
            <w:tcW w:w="36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Название программы с указанием количества часов и организации, на базе которой она реализуется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Сетевые партнеры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Ссылка на программу (портал)</w:t>
            </w:r>
          </w:p>
        </w:tc>
      </w:tr>
      <w:tr>
        <w:trPr/>
        <w:tc>
          <w:tcPr>
            <w:tcW w:w="36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center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Кукольный театр «Буратино»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  <w:shd w:fill="auto" w:val="clear"/>
              </w:rPr>
              <w:t>МБДОУ Детский сад  №5 «Радость» р.п.Базарный Карабулак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sz w:val="22"/>
              </w:rPr>
            </w:pPr>
            <w:hyperlink r:id="rId2">
              <w:r>
                <w:rPr>
                  <w:rStyle w:val="Hyperlink"/>
                  <w:rFonts w:eastAsia="Calibri" w:cs="Times New Roman" w:ascii="PT Astra Serif" w:hAnsi="PT Astra Serif"/>
                  <w:sz w:val="28"/>
                  <w:szCs w:val="28"/>
                  <w:shd w:fill="auto" w:val="clear"/>
                </w:rPr>
                <w:t>https://saratov.pfdo.ru/app/the-navigator/navigator?program=1092154</w:t>
              </w:r>
            </w:hyperlink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left="1069"/>
        <w:contextualSpacing/>
        <w:jc w:val="both"/>
        <w:rPr>
          <w:rFonts w:ascii="PT Astra Serif" w:hAnsi="PT Astra Serif" w:eastAsia="Calibri" w:cs="Times New Roman"/>
          <w:lang w:eastAsia="en-US"/>
        </w:rPr>
      </w:pPr>
      <w:r>
        <w:rPr>
          <w:rFonts w:eastAsia="Calibri" w:cs="Times New Roman" w:ascii="PT Astra Serif" w:hAnsi="PT Astra Serif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Обновление содержания дополнительного образования (ед.)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393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Всего программ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Из них внедренных в 2024 году</w:t>
            </w:r>
          </w:p>
        </w:tc>
      </w:tr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 xml:space="preserve">                 </w:t>
            </w:r>
            <w:r>
              <w:rPr>
                <w:rFonts w:eastAsia="Calibri" w:cs="Times New Roman"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 xml:space="preserve">                 </w:t>
            </w:r>
            <w:r>
              <w:rPr>
                <w:rFonts w:eastAsia="Calibri" w:cs="Times New Roman" w:ascii="PT Astra Serif" w:hAnsi="PT Astra Serif"/>
                <w:sz w:val="28"/>
                <w:szCs w:val="28"/>
              </w:rPr>
              <w:t>264</w:t>
            </w:r>
          </w:p>
        </w:tc>
      </w:tr>
    </w:tbl>
    <w:p>
      <w:pPr>
        <w:pStyle w:val="Normal"/>
        <w:spacing w:lineRule="auto" w:line="240" w:before="0" w:after="0"/>
        <w:ind w:left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*Разработка и реализация региональных сквозных программ, учитывающих тенденции социально-экономического развития муниципального образования (региона).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393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418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Краткая аннотация к программе, ссылка на программу (портал)</w:t>
            </w:r>
          </w:p>
        </w:tc>
      </w:tr>
      <w:tr>
        <w:trPr/>
        <w:tc>
          <w:tcPr>
            <w:tcW w:w="49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*Региональные сквозные программы реализуются ко Дню народного единства (осенние каникулы), Новогодним праздникам, при подготовке к выпускным вечерам</w:t>
      </w:r>
    </w:p>
    <w:p>
      <w:pPr>
        <w:pStyle w:val="Normal"/>
        <w:spacing w:lineRule="auto" w:line="240" w:before="0" w:after="0"/>
        <w:ind w:left="1069"/>
        <w:contextualSpacing/>
        <w:jc w:val="both"/>
        <w:rPr>
          <w:rFonts w:ascii="PT Astra Serif" w:hAnsi="PT Astra Serif" w:eastAsia="Calibri" w:cs="Times New Roman"/>
          <w:lang w:eastAsia="en-US"/>
        </w:rPr>
      </w:pPr>
      <w:r>
        <w:rPr>
          <w:rFonts w:eastAsia="Calibri" w:cs="Times New Roman" w:ascii="PT Astra Serif" w:hAnsi="PT Astra Serif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*Разработка и реализация программ с использованием культурно-образовательного проекта «Культурный дневник дошкольника», «Культурный дневник школьника»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4"/>
        <w:gridCol w:w="3103"/>
        <w:gridCol w:w="2709"/>
      </w:tblGrid>
      <w:tr>
        <w:trPr/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3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Раздел «Культурного дневника», который использован в программе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Ссылка на программу (портал)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left="1069"/>
        <w:contextualSpacing/>
        <w:jc w:val="both"/>
        <w:rPr>
          <w:rFonts w:ascii="PT Astra Serif" w:hAnsi="PT Astra Serif" w:eastAsia="Calibri" w:cs="Times New Roman"/>
          <w:lang w:eastAsia="en-US"/>
        </w:rPr>
      </w:pPr>
      <w:r>
        <w:rPr>
          <w:rFonts w:eastAsia="Calibri" w:cs="Times New Roman" w:ascii="PT Astra Serif" w:hAnsi="PT Astra Serif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*Разработка и внедрение в образовательные и воспитательные программы  области культурно-познавательных маршрутов для ознакомления детей с историей, культурой, традициями, природой родного края, организации проектной, поисковой работы и исследовательской работы.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4"/>
        <w:gridCol w:w="3119"/>
        <w:gridCol w:w="2693"/>
      </w:tblGrid>
      <w:tr>
        <w:trPr>
          <w:trHeight w:val="1158" w:hRule="atLeast"/>
        </w:trPr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Область познавательной деятельности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360"/>
              <w:ind w:hanging="0" w:left="0"/>
              <w:jc w:val="center"/>
              <w:outlineLvl w:val="0"/>
              <w:rPr>
                <w:sz w:val="22"/>
              </w:rPr>
            </w:pPr>
            <w:r>
              <w:rPr>
                <w:rFonts w:eastAsia="Times New Roman" w:cs="Times New Roman" w:ascii="PT Astra Serif" w:hAnsi="PT Astra Serif"/>
                <w:bCs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Использование образовательных маршрутов из федерального реестра на сайте «Познавательные маршруты» </w:t>
            </w:r>
            <w:hyperlink r:id="rId3">
              <w:r>
                <w:rPr>
                  <w:rFonts w:eastAsia="Times New Roman" w:cs="Times New Roman" w:ascii="PT Astra Serif" w:hAnsi="PT Astra Serif"/>
                  <w:bCs/>
                  <w:color w:themeColor="hyperlink" w:val="0000FF"/>
                  <w:kern w:val="2"/>
                  <w:sz w:val="24"/>
                  <w:szCs w:val="24"/>
                  <w:u w:val="single"/>
                  <w:shd w:fill="auto" w:val="clear"/>
                  <w:lang w:val="ru-RU" w:eastAsia="en-US" w:bidi="ar-SA"/>
                </w:rPr>
                <w:t>https://школьныйтуризмроссии.рф/routes/</w:t>
              </w:r>
            </w:hyperlink>
            <w:r>
              <w:rPr>
                <w:rFonts w:eastAsia="Times New Roman" w:cs="Times New Roman" w:ascii="PT Astra Serif" w:hAnsi="PT Astra Serif"/>
                <w:bCs/>
                <w:kern w:val="2"/>
                <w:sz w:val="24"/>
                <w:szCs w:val="24"/>
                <w:shd w:fill="auto" w:val="clear"/>
                <w:lang w:val="ru-RU" w:eastAsia="en-US" w:bidi="ar-SA"/>
              </w:rPr>
              <w:t xml:space="preserve"> ДА/НЕТ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*Разработка и реализация программ, направленных на профилактику и преодоление школьной неуспешности.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4960"/>
      </w:tblGrid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Ссылка на программу (портал)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«Физика в экспериментах»</w:t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hyperlink r:id="rId4" w:tgtFrame="_blank">
              <w:r>
                <w:rPr>
                  <w:rStyle w:val="Hyperlink"/>
                  <w:rFonts w:eastAsia="Calibri" w:cs="Times New Roman" w:ascii="PT Astra Serif" w:hAnsi="PT Astra Serif"/>
                  <w:sz w:val="28"/>
                  <w:szCs w:val="28"/>
                </w:rPr>
                <w:t>https://hmao.pfdo.ru/app/program-view/1123238/</w:t>
              </w:r>
            </w:hyperlink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*Включение компонентов экологической, предпринимательской, цифровой и финансовой грамотности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4960"/>
      </w:tblGrid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Компонент/ ссылка на программу (портал)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hyperlink r:id="rId5">
              <w:r>
                <w:rPr>
                  <w:rStyle w:val="Hyperlink"/>
                  <w:rFonts w:eastAsia="Calibri" w:cs="Times New Roman" w:ascii="PT Astra Serif" w:hAnsi="PT Astra Serif"/>
                  <w:sz w:val="28"/>
                  <w:szCs w:val="28"/>
                </w:rPr>
                <w:t>https://saratov.pfdo.ru/app/program-view/1112617/</w:t>
              </w:r>
            </w:hyperlink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*Разработка и реализация программ, направленных на раннюю профессиональную ориентацию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4677"/>
      </w:tblGrid>
      <w:tr>
        <w:trPr>
          <w:trHeight w:val="305" w:hRule="atLeast"/>
        </w:trPr>
        <w:tc>
          <w:tcPr>
            <w:tcW w:w="46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Ссылка на программу (портал)</w:t>
            </w:r>
          </w:p>
        </w:tc>
      </w:tr>
      <w:tr>
        <w:trPr>
          <w:trHeight w:val="305" w:hRule="atLeast"/>
        </w:trPr>
        <w:tc>
          <w:tcPr>
            <w:tcW w:w="46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PT Astra Serif" w:hAnsi="PT Astra Serif"/>
                <w:sz w:val="26"/>
                <w:szCs w:val="26"/>
              </w:rPr>
              <w:t>«Профориентационный навигатор»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hyperlink r:id="rId6">
              <w:r>
                <w:rPr>
                  <w:rStyle w:val="Hyperlink"/>
                  <w:rFonts w:eastAsia="Calibri" w:cs="Times New Roman" w:ascii="PT Astra Serif" w:hAnsi="PT Astra Serif"/>
                  <w:sz w:val="24"/>
                  <w:szCs w:val="24"/>
                </w:rPr>
                <w:t>https://saratov.pfdo.ru/app/program-view/1112667/</w:t>
              </w:r>
            </w:hyperlink>
            <w:hyperlink r:id="rId7">
              <w:r>
                <w:rPr>
                  <w:rFonts w:eastAsia="Calibri" w:cs="Times New Roman" w:ascii="PT Astra Serif" w:hAnsi="PT Astra Serif"/>
                  <w:sz w:val="24"/>
                  <w:szCs w:val="24"/>
                </w:rPr>
                <w:t xml:space="preserve"> </w:t>
              </w:r>
            </w:hyperlink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 w:eastAsia="Calibri" w:cs="Times New Roman"/>
          <w:sz w:val="24"/>
          <w:lang w:eastAsia="en-US"/>
        </w:rPr>
      </w:pPr>
      <w:r>
        <w:rPr>
          <w:rFonts w:eastAsia="Calibri" w:cs="Times New Roman" w:ascii="PT Astra Serif" w:hAnsi="PT Astra Serif"/>
          <w:sz w:val="24"/>
          <w:lang w:eastAsia="en-US"/>
        </w:rPr>
        <w:t>*Только программы, которые были реализованы с 1 января 2024 года</w:t>
      </w:r>
    </w:p>
    <w:p>
      <w:pPr>
        <w:pStyle w:val="Normal"/>
        <w:spacing w:lineRule="auto" w:line="240" w:before="0" w:after="0"/>
        <w:ind w:left="568"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Краткое описание приоритетных (уникальных) направлений дополнительного образования детей в муниципальном районе (городском округе) 2024 году: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В рамках сетевого взаимодействия в образовательных учреждениях реализуются программы для дошкольных образовательных учреждений.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Принято заявок на обучение по программам через единый портал государственных услуг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3381"/>
        <w:gridCol w:w="2721"/>
      </w:tblGrid>
      <w:tr>
        <w:trPr/>
        <w:tc>
          <w:tcPr>
            <w:tcW w:w="32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Всего заявок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Принято организацией</w:t>
            </w:r>
          </w:p>
        </w:tc>
        <w:tc>
          <w:tcPr>
            <w:tcW w:w="27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Отклонено организацией (причина)</w:t>
            </w:r>
          </w:p>
        </w:tc>
      </w:tr>
      <w:tr>
        <w:trPr/>
        <w:tc>
          <w:tcPr>
            <w:tcW w:w="32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>Кадровое обеспечение: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535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Вакансий в организациях дополнительного образования (шт.ед)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Вакансий в образовательных организациях (кроме организаций дополнительного образования) (шт.ед.)</w:t>
            </w:r>
          </w:p>
        </w:tc>
      </w:tr>
      <w:tr>
        <w:trPr/>
        <w:tc>
          <w:tcPr>
            <w:tcW w:w="93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Городская местность</w:t>
            </w:r>
          </w:p>
        </w:tc>
      </w:tr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Технической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Социально-гуманитарной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Естественнонаучной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Туристско-краеведческой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Художественной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Физкультурно-спортивной направленности -0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Технической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Социально-гуманитарной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Естественнонаучной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Туристско-краеведческой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Художественной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Физкультурно-спортивной направленности -0</w:t>
            </w:r>
          </w:p>
        </w:tc>
      </w:tr>
      <w:tr>
        <w:trPr/>
        <w:tc>
          <w:tcPr>
            <w:tcW w:w="93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Сельская местность</w:t>
            </w:r>
          </w:p>
        </w:tc>
      </w:tr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Технической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Социально-гуманитарной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Естественнонаучной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Туристско-краеведческой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Художественной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Физкультурно-спортивной направленности -0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Технической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Социально-гуманитарной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Естественнонаучной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Туристско-краеведческой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Художественной направленности –0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Физкультурно-спортивной направленности -0</w:t>
            </w:r>
          </w:p>
        </w:tc>
      </w:tr>
    </w:tbl>
    <w:p>
      <w:pPr>
        <w:pStyle w:val="Normal"/>
        <w:spacing w:lineRule="auto" w:line="240" w:before="0" w:after="200"/>
        <w:ind w:left="1068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40" w:before="0" w:after="200"/>
        <w:ind w:firstLine="709" w:left="0"/>
        <w:contextualSpacing/>
        <w:jc w:val="both"/>
        <w:rPr>
          <w:rFonts w:ascii="PT Astra Serif" w:hAnsi="PT Astra Serif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Проблемы и риски, которые существуют в муниципальной системе дополнительного образования</w:t>
      </w:r>
    </w:p>
    <w:tbl>
      <w:tblPr>
        <w:tblStyle w:val="1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254"/>
        <w:gridCol w:w="4536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Существующая проблема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PT Astra Serif" w:hAnsi="PT Astra Serif" w:eastAsia="Calibri" w:cs="Times New Roman"/>
                <w:sz w:val="24"/>
                <w:szCs w:val="28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Возможные варианты решения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PT Astra Serif" w:hAnsi="PT Astra Serif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996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77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d28c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d28cf"/>
    <w:rPr>
      <w:rFonts w:ascii="Tahoma" w:hAnsi="Tahoma" w:cs="Tahoma"/>
      <w:sz w:val="16"/>
      <w:szCs w:val="16"/>
    </w:rPr>
  </w:style>
  <w:style w:type="character" w:styleId="Style15" w:customStyle="1">
    <w:name w:val="Без интервала Знак"/>
    <w:link w:val="NoSpacing"/>
    <w:uiPriority w:val="1"/>
    <w:qFormat/>
    <w:locked/>
    <w:rsid w:val="00aa09c0"/>
    <w:rPr/>
  </w:style>
  <w:style w:type="character" w:styleId="Emphasis">
    <w:name w:val="Emphasis"/>
    <w:basedOn w:val="DefaultParagraphFont"/>
    <w:uiPriority w:val="20"/>
    <w:qFormat/>
    <w:rsid w:val="00aa09c0"/>
    <w:rPr>
      <w:i/>
      <w:iCs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d28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link w:val="Style15"/>
    <w:uiPriority w:val="1"/>
    <w:qFormat/>
    <w:rsid w:val="00bd28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d28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345"/>
    <w:pPr>
      <w:spacing w:before="0" w:after="200"/>
      <w:ind w:left="72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a57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801d25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ratov.pfdo.ru/app/the-navigator/navigator?program=1092154" TargetMode="External"/><Relationship Id="rId3" Type="http://schemas.openxmlformats.org/officeDocument/2006/relationships/hyperlink" Target="https://&#1096;&#1082;&#1086;&#1083;&#1100;&#1085;&#1099;&#1081;&#1090;&#1091;&#1088;&#1080;&#1079;&#1084;&#1088;&#1086;&#1089;&#1089;&#1080;&#1080;.&#1088;&#1092;/routes/" TargetMode="External"/><Relationship Id="rId4" Type="http://schemas.openxmlformats.org/officeDocument/2006/relationships/hyperlink" Target="https://hmao.pfdo.ru/app/program-view/1123238/" TargetMode="External"/><Relationship Id="rId5" Type="http://schemas.openxmlformats.org/officeDocument/2006/relationships/hyperlink" Target="https://saratov.pfdo.ru/app/program-view/1112617/" TargetMode="External"/><Relationship Id="rId6" Type="http://schemas.openxmlformats.org/officeDocument/2006/relationships/hyperlink" Target="https://saratov.pfdo.ru/app/program-view/1112667/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LibreOffice/24.2.2.2$Windows_X86_64 LibreOffice_project/d56cc158d8a96260b836f100ef4b4ef25d6f1a01</Application>
  <AppVersion>15.0000</AppVersion>
  <Pages>7</Pages>
  <Words>1424</Words>
  <Characters>10552</Characters>
  <CharactersWithSpaces>11762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yakovleva</dc:creator>
  <dc:description/>
  <dc:language>ru-RU</dc:language>
  <cp:lastModifiedBy/>
  <dcterms:modified xsi:type="dcterms:W3CDTF">2024-12-09T13:43:24Z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